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4"/>
        <w:gridCol w:w="7758"/>
        <w:tblGridChange w:id="0">
          <w:tblGrid>
            <w:gridCol w:w="3724"/>
            <w:gridCol w:w="775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211572" cy="618431"/>
                  <wp:effectExtent b="0" l="0" r="0" t="0"/>
                  <wp:docPr descr="Descripción: Descripción: I:\1 - MB RESULTADOS\I - NUTRICION\3 - INFORMACION SENSIBLE\2017 Calidad y A   - EPCN\Manuales Oficiales Logo - UNSA\IMÁGENES EN FONDO TRANSPARENTE\LOGOTIPO PLOMO CON FONDO TRANSPARENTE.png" id="16" name="image1.png"/>
                  <a:graphic>
                    <a:graphicData uri="http://schemas.openxmlformats.org/drawingml/2006/picture">
                      <pic:pic>
                        <pic:nvPicPr>
                          <pic:cNvPr descr="Descripción: Descripción: I:\1 - MB RESULTADOS\I - NUTRICION\3 - INFORMACION SENSIBLE\2017 Calidad y A   - EPCN\Manuales Oficiales Logo - UNSA\IMÁGENES EN FONDO TRANSPARENTE\LOGOTIPO PLOMO CON FONDO TRANSPARENTE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72" cy="6184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Black" w:cs="Arial Black" w:eastAsia="Arial Black" w:hAnsi="Arial Black"/>
                <w:b w:val="1"/>
                <w:sz w:val="50"/>
                <w:szCs w:val="5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50"/>
                <w:szCs w:val="50"/>
                <w:rtl w:val="0"/>
              </w:rPr>
              <w:t xml:space="preserve">SISTEMA DE GESTIÓN DE 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50"/>
                <w:szCs w:val="50"/>
                <w:rtl w:val="0"/>
              </w:rPr>
              <w:t xml:space="preserve">LA CALIDAD DE LA UNSA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GUÍA DE APOYO PARA EL DUEÑO DE PROCESO EN EL SGC DE LA UNSA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1950"/>
        <w:gridCol w:w="2850"/>
        <w:gridCol w:w="990"/>
        <w:gridCol w:w="5085"/>
        <w:gridCol w:w="105"/>
        <w:tblGridChange w:id="0">
          <w:tblGrid>
            <w:gridCol w:w="540"/>
            <w:gridCol w:w="1950"/>
            <w:gridCol w:w="2850"/>
            <w:gridCol w:w="990"/>
            <w:gridCol w:w="5085"/>
            <w:gridCol w:w="105"/>
          </w:tblGrid>
        </w:tblGridChange>
      </w:tblGrid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Proceso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Dueño de proceso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Evaluador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Aspecto a evaluar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relacionar los aspectos a evaluar, haga clic en los respectivos enlaces: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b w:val="1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Identifica el / los proceso (s) nivel 0, 1 y 2 así como los procedimientos que involucra y los participantes en el desarrollo de la documentación del proceso (s) a su cargo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Cronograma de Monitoreo: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https://cutt.ly/pfQ1uIE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Gestiona los indicadores del proceso (s) a su cargo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Plan de Calidad para los procesos: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https://cutt.ly/kfQ1rLT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Gestiona los riesgos del proceso (s) a su cargo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Matriz de riesgos: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https://cutt.ly/zfQ1iP7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Conoce y está involucrado en la política de calidad de la UNSA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Política de Calidad: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https://cutt.ly/vfQ1pnq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Conoce y está involucrado en los objetivos de calidad de la UNSA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Objetivos de Calidad: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https://cutt.ly/XfQ1agq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Gestiona las desviaciones del proceso (s) a su cargo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Gestiona la mejora continua del proceso (s) a su cargo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Evidencia la ejecución del proceso (s) a su cargo con registros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Los registros son legibles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Los registros son accesibles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426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3EC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BF3ECA"/>
    <w:pPr>
      <w:spacing w:after="0" w:line="240" w:lineRule="auto"/>
    </w:pPr>
    <w:rPr>
      <w:lang w:val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70E5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70E5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A35DEE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A35DE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A35DEE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A35DE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A35DE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utt.ly/vfQ1pnq" TargetMode="External"/><Relationship Id="rId10" Type="http://schemas.openxmlformats.org/officeDocument/2006/relationships/hyperlink" Target="https://cutt.ly/zfQ1iP7" TargetMode="External"/><Relationship Id="rId12" Type="http://schemas.openxmlformats.org/officeDocument/2006/relationships/hyperlink" Target="https://cutt.ly/XfQ1agq" TargetMode="External"/><Relationship Id="rId9" Type="http://schemas.openxmlformats.org/officeDocument/2006/relationships/hyperlink" Target="https://cutt.ly/kfQ1rL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utt.ly/pfQ1u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PJ3m72Pdyk8q07BXjx228jymdA==">AMUW2mVzlfpBS6cYEMJs25agD9NaWdFotQtuqWW1MzEUb3Xfka1ltLXi/iVXZM8S3mqWGqSyb9sR5PfiHjQzBJWH0rOdKxstSsyRQ9NycNztqDtkzhgQUR8=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2020-08-31T15:01:00Z</dcterms:created>
  <dc:creator>SONY VAIO</dc:creator>
</cp:coreProperties>
</file>